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36"/>
        </w:rPr>
        <w:t>PROPOSED INVESTOR TERMS — [DEAL NAME]</w:t>
      </w:r>
    </w:p>
    <w:p>
      <w:r>
        <w:rPr>
          <w:color w:val="555555"/>
          <w:sz w:val="18"/>
        </w:rPr>
        <w:t>The terms you are actually proposing, in writing. "To be discussed" is not a term.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</w:tcPr>
          <w:p>
            <w:r>
              <w:rPr>
                <w:b/>
                <w:sz w:val="18"/>
              </w:rPr>
              <w:t>Investment amount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[USD]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Vehicle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[SPV jurisdiction · who incorporates · timeline]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Cap table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[Parties and % — investor and promoter both on the cap table?]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Principal protection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[e.g. 100% principal returned FIRST, before any split]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Profit split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[e.g. 50/50 after principal · before or after corporate tax — state which]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Tax basis of the split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[Which taxes are deducted before the split: corp tax / WHT / VAT]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Settlement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[e.g. T+15 calendar days after the show]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Wire controls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[e.g. dual-signature: one signatory each side on every outgoing payment]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Account visibility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[e.g. investor view-only access, real time]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Reporting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[Cadence + what: sales, cash position, budget vs actual]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Cancellation waterfall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[What returns to whom if the show cancels — by stage]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Wind-down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[SPV liquidation trigger and timeline after settlement]</w:t>
            </w:r>
          </w:p>
        </w:tc>
      </w:tr>
    </w:tbl>
    <w:p>
      <w:r>
        <w:rPr>
          <w:color w:val="555555"/>
          <w:sz w:val="16"/>
        </w:rPr>
        <w:t>Prepared for deal review · SROAST Entertainment Pte. Ltd. · UEN 202549936C · main@sroast.com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14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