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sz w:val="36"/>
        </w:rPr>
        <w:t>LEGAL · TAX · INSURANCE — STATUS CHECKLIST</w:t>
      </w:r>
    </w:p>
    <w:p>
      <w:r>
        <w:rPr>
          <w:color w:val="555555"/>
          <w:sz w:val="18"/>
        </w:rPr>
        <w:t>Status: Confirmed / Quoted / In progress / Open. Every "Open" at submission is a question an investor will ask; answer it first. Attach evidence for every "Confirmed".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744"/>
          </w:tcPr>
          <w:p>
            <w:r>
              <w:rPr>
                <w:b/>
                <w:sz w:val="17"/>
              </w:rPr>
              <w:t>Item</w:t>
            </w:r>
          </w:p>
        </w:tc>
        <w:tc>
          <w:tcPr>
            <w:tcW w:type="dxa" w:w="1440"/>
          </w:tcPr>
          <w:p>
            <w:r>
              <w:rPr>
                <w:b/>
                <w:sz w:val="17"/>
              </w:rPr>
              <w:t>Status</w:t>
            </w:r>
          </w:p>
        </w:tc>
        <w:tc>
          <w:tcPr>
            <w:tcW w:type="dxa" w:w="1728"/>
          </w:tcPr>
          <w:p>
            <w:r>
              <w:rPr>
                <w:b/>
                <w:sz w:val="17"/>
              </w:rPr>
              <w:t>Evidence attached</w:t>
            </w:r>
          </w:p>
        </w:tc>
        <w:tc>
          <w:tcPr>
            <w:tcW w:type="dxa" w:w="2592"/>
          </w:tcPr>
          <w:p>
            <w:r>
              <w:rPr>
                <w:b/>
                <w:sz w:val="17"/>
              </w:rPr>
              <w:t>Note</w:t>
            </w:r>
          </w:p>
        </w:tc>
      </w:tr>
      <w:tr>
        <w:tc>
          <w:tcPr>
            <w:tcW w:type="dxa" w:w="3744"/>
          </w:tcPr>
          <w:p>
            <w:r>
              <w:rPr>
                <w:sz w:val="18"/>
              </w:rPr>
              <w:t>SPV jurisdiction &amp; incorporation route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Cap table (all parties, %)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Governance: board / signatories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Wire controls (dual-signature mandate)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Bank account route (bank · fallback)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Artist withholding tax — rate &amp; structuring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Ticket VAT / sales tax treatment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Corporate tax position of the SPV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Double-tax treaty / foreign tax credit position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Cancellation insurance — quote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Non-appearance insurance — quote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Event liability insurance — quote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Venue permit / licence status for the date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Performance / entertainment licence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3744"/>
          </w:tcPr>
          <w:p>
            <w:r>
              <w:rPr>
                <w:sz w:val="18"/>
              </w:rPr>
              <w:t>Work permits &amp; visas — touring party</w:t>
            </w:r>
          </w:p>
        </w:tc>
        <w:tc>
          <w:tcPr>
            <w:tcW w:type="dxa" w:w="1440"/>
          </w:tcPr>
          <w:p/>
        </w:tc>
        <w:tc>
          <w:tcPr>
            <w:tcW w:type="dxa" w:w="1728"/>
          </w:tcPr>
          <w:p/>
        </w:tc>
        <w:tc>
          <w:tcPr>
            <w:tcW w:type="dxa" w:w="2592"/>
          </w:tcPr>
          <w:p/>
        </w:tc>
      </w:tr>
    </w:tbl>
    <w:p>
      <w:r>
        <w:rPr>
          <w:color w:val="555555"/>
          <w:sz w:val="16"/>
        </w:rPr>
        <w:t>Prepared for deal review · SROAST Entertainment Pte. Ltd. · UEN 202549936C · main@sroast.com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414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